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22F29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14:paraId="45B7FCC1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E684F2E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2B27419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531CBB7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051DDDE" w14:textId="77777777" w:rsidR="005548F2" w:rsidRDefault="008E0B17" w:rsidP="008E0B17">
      <w:pPr>
        <w:tabs>
          <w:tab w:val="left" w:pos="3832"/>
        </w:tabs>
        <w:spacing w:before="180"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14:paraId="2FB94240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712F585B" w14:textId="77777777" w:rsidR="008C6721" w:rsidRPr="002B50C0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III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05D835C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396EAB3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85344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2F85C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321130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ABA6AF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2686E2" w14:textId="77777777"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14:paraId="0A4020B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7F1C6E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2980E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67C39E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34A95B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1F8D3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099EF84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AA4B00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C3323" w14:textId="77777777" w:rsidR="00F53AF2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Budżet państwa (ORE): cz. 30 - Oświata i wychowanie</w:t>
            </w:r>
          </w:p>
          <w:p w14:paraId="1512B463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14:paraId="2C569B7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A8A6F9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B1A61B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49436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04A0788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96A80E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9DEAD" w14:textId="77777777"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14:paraId="3474DEE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3C992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ECD2DC8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625B14" w14:textId="77777777"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14:paraId="784CC6D5" w14:textId="77777777"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14:paraId="029811C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EEE81D8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3EF7F5B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14:paraId="1A31A5BB" w14:textId="77777777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99956F3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AA98557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46D250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0CE89C39" w14:textId="77777777" w:rsidTr="00647A7F">
        <w:tc>
          <w:tcPr>
            <w:tcW w:w="2972" w:type="dxa"/>
          </w:tcPr>
          <w:p w14:paraId="7DAFAEE7" w14:textId="77777777" w:rsidR="00907F6D" w:rsidRPr="00F53AF2" w:rsidRDefault="00F53AF2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,70%</w:t>
            </w:r>
          </w:p>
        </w:tc>
        <w:tc>
          <w:tcPr>
            <w:tcW w:w="3260" w:type="dxa"/>
          </w:tcPr>
          <w:p w14:paraId="57D5C80E" w14:textId="77777777"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>0,00 %</w:t>
            </w:r>
          </w:p>
          <w:p w14:paraId="3F68AFE8" w14:textId="77777777"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31238F" w14:textId="77777777"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D433F">
              <w:rPr>
                <w:rFonts w:ascii="Arial" w:hAnsi="Arial" w:cs="Arial"/>
                <w:sz w:val="18"/>
                <w:szCs w:val="18"/>
              </w:rPr>
              <w:t>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E2DFB58" w14:textId="77777777"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102301" w14:textId="77777777" w:rsidR="002D433F" w:rsidRPr="009E276A" w:rsidRDefault="009E276A" w:rsidP="009E276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9E276A">
              <w:rPr>
                <w:rFonts w:ascii="Arial" w:hAnsi="Arial" w:cs="Arial"/>
                <w:i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14:paraId="471BB481" w14:textId="77777777" w:rsidR="00907F6D" w:rsidRPr="00F53AF2" w:rsidRDefault="006C028C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0,00 %</w:t>
            </w:r>
          </w:p>
        </w:tc>
      </w:tr>
    </w:tbl>
    <w:p w14:paraId="52BDE4A3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9F92851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468C82DE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127"/>
        <w:gridCol w:w="1842"/>
        <w:gridCol w:w="1289"/>
        <w:gridCol w:w="1263"/>
        <w:gridCol w:w="2977"/>
      </w:tblGrid>
      <w:tr w:rsidR="004350B8" w:rsidRPr="002B50C0" w14:paraId="458F46F2" w14:textId="77777777" w:rsidTr="00AF7FB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7855784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17B26C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C8AEF7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19108B6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2AC0E7F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1373B34C" w14:textId="77777777" w:rsidTr="00AF7FB2">
        <w:trPr>
          <w:trHeight w:val="851"/>
        </w:trPr>
        <w:tc>
          <w:tcPr>
            <w:tcW w:w="2127" w:type="dxa"/>
          </w:tcPr>
          <w:p w14:paraId="24A17A72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3AA8" w14:textId="77777777" w:rsidR="004350B8" w:rsidRPr="00F53AF2" w:rsidRDefault="00BA4AE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F53AF2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654E37AA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263" w:type="dxa"/>
          </w:tcPr>
          <w:p w14:paraId="04BA5F89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77" w:type="dxa"/>
          </w:tcPr>
          <w:p w14:paraId="7CEFB806" w14:textId="77777777" w:rsidR="004350B8" w:rsidRPr="00F53AF2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</w:tc>
      </w:tr>
      <w:tr w:rsidR="00AF7FB2" w:rsidRPr="002B50C0" w14:paraId="042B6CCC" w14:textId="77777777" w:rsidTr="00AF7FB2">
        <w:trPr>
          <w:trHeight w:val="701"/>
        </w:trPr>
        <w:tc>
          <w:tcPr>
            <w:tcW w:w="2127" w:type="dxa"/>
          </w:tcPr>
          <w:p w14:paraId="58B21A7D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09DF" w14:textId="77777777" w:rsidR="00AF7FB2" w:rsidRPr="00F53AF2" w:rsidRDefault="00BA4AEB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F53AF2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2D1A8F66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6EFBF84B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77" w:type="dxa"/>
          </w:tcPr>
          <w:p w14:paraId="537156F2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E216BF0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36B0DA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</w:t>
            </w:r>
            <w:r w:rsidRPr="002D433F">
              <w:rPr>
                <w:rFonts w:ascii="Arial" w:hAnsi="Arial" w:cs="Arial"/>
                <w:sz w:val="18"/>
                <w:szCs w:val="18"/>
              </w:rPr>
              <w:t>osiągnięcia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kamienia milowego wyniknęło z nagłego odwołania Dyrektora ORE mającego być sygnatariuszem </w:t>
            </w:r>
            <w:r w:rsidRPr="002D433F">
              <w:rPr>
                <w:rFonts w:ascii="Arial" w:hAnsi="Arial" w:cs="Arial"/>
                <w:sz w:val="18"/>
                <w:szCs w:val="18"/>
              </w:rPr>
              <w:t>porozumienia o dofinansowanie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. Realnie mieliśmy do czynienia z kilkudniowym przesunięciem </w:t>
            </w:r>
            <w:r w:rsidR="001B42C0">
              <w:rPr>
                <w:rFonts w:ascii="Arial" w:hAnsi="Arial" w:cs="Arial"/>
                <w:sz w:val="18"/>
                <w:szCs w:val="18"/>
              </w:rPr>
              <w:t>terminu osiągnięcia - planowaliśmy podpisanie z końcem czerwca a zostało podpisane w dniu 4 lipca 2019r.</w:t>
            </w:r>
          </w:p>
        </w:tc>
      </w:tr>
      <w:tr w:rsidR="00AF7FB2" w:rsidRPr="002B50C0" w14:paraId="43626BA2" w14:textId="77777777" w:rsidTr="00AF7FB2">
        <w:trPr>
          <w:trHeight w:val="726"/>
        </w:trPr>
        <w:tc>
          <w:tcPr>
            <w:tcW w:w="2127" w:type="dxa"/>
          </w:tcPr>
          <w:p w14:paraId="10F97A2C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95F7" w14:textId="77777777" w:rsidR="00487328" w:rsidRDefault="00487328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sztuki</w:t>
            </w:r>
          </w:p>
          <w:p w14:paraId="56161678" w14:textId="77777777" w:rsidR="00AF7FB2" w:rsidRPr="00F53AF2" w:rsidRDefault="00BA4AEB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F53AF2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2868EF75" w14:textId="77777777" w:rsidR="00AF7FB2" w:rsidRPr="00F53AF2" w:rsidRDefault="00DA446D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5CB72AA0" w14:textId="77777777" w:rsidR="00AF7FB2" w:rsidRPr="00F53AF2" w:rsidRDefault="00DA446D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79EB3522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4F62409A" w14:textId="77777777" w:rsidR="00AF7FB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5397A" w14:textId="77777777" w:rsidR="0001599B" w:rsidRPr="0001599B" w:rsidRDefault="00EC4B20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koniecznością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wprowadzenia Partnera do projektu </w:t>
            </w:r>
            <w:r>
              <w:rPr>
                <w:rFonts w:ascii="Arial" w:hAnsi="Arial" w:cs="Arial"/>
                <w:i/>
                <w:sz w:val="18"/>
                <w:szCs w:val="18"/>
              </w:rPr>
              <w:t>a w konsekwencji modyfikac</w:t>
            </w:r>
            <w:r w:rsidR="00487328">
              <w:rPr>
                <w:rFonts w:ascii="Arial" w:hAnsi="Arial" w:cs="Arial"/>
                <w:i/>
                <w:sz w:val="18"/>
                <w:szCs w:val="18"/>
              </w:rPr>
              <w:t>j</w:t>
            </w:r>
            <w:r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wniosku o dofinansowanie i podziałem zadań.</w:t>
            </w:r>
          </w:p>
          <w:p w14:paraId="6B8AB584" w14:textId="77777777" w:rsidR="00AF7FB2" w:rsidRPr="0001599B" w:rsidRDefault="0001599B" w:rsidP="005625D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18"/>
              </w:rPr>
              <w:t>Obecnie Beneficjent oczekuje na zatwierdzenie zaktualizowanego wniosku o dofinansowanie przez IP (CPPC)</w:t>
            </w:r>
          </w:p>
        </w:tc>
      </w:tr>
      <w:tr w:rsidR="0001599B" w:rsidRPr="002B50C0" w14:paraId="3A4D6224" w14:textId="77777777" w:rsidTr="00AF7FB2">
        <w:trPr>
          <w:trHeight w:val="1139"/>
        </w:trPr>
        <w:tc>
          <w:tcPr>
            <w:tcW w:w="2127" w:type="dxa"/>
          </w:tcPr>
          <w:p w14:paraId="31C8083C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AC3A" w14:textId="77777777"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487328">
              <w:rPr>
                <w:rFonts w:ascii="Arial" w:hAnsi="Arial" w:cs="Arial"/>
                <w:sz w:val="18"/>
                <w:szCs w:val="18"/>
              </w:rPr>
              <w:t>KPI 1 – 2 sztuki</w:t>
            </w:r>
          </w:p>
          <w:p w14:paraId="690C2361" w14:textId="77777777" w:rsidR="0001599B" w:rsidRPr="00F53AF2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11B6392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10.2019 r. </w:t>
            </w:r>
          </w:p>
        </w:tc>
        <w:tc>
          <w:tcPr>
            <w:tcW w:w="1263" w:type="dxa"/>
          </w:tcPr>
          <w:p w14:paraId="16BC2D45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4C217334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1599B" w:rsidRPr="002B50C0" w14:paraId="36B169E3" w14:textId="77777777" w:rsidTr="00DA446D">
        <w:trPr>
          <w:trHeight w:val="601"/>
        </w:trPr>
        <w:tc>
          <w:tcPr>
            <w:tcW w:w="2127" w:type="dxa"/>
          </w:tcPr>
          <w:p w14:paraId="45BAC729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73FB2" w14:textId="77777777" w:rsidR="0001599B" w:rsidRPr="00F53AF2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5ED3544C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6C55D022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331E911A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0A72F8DC" w14:textId="77777777" w:rsidTr="00DA446D">
        <w:trPr>
          <w:trHeight w:val="1152"/>
        </w:trPr>
        <w:tc>
          <w:tcPr>
            <w:tcW w:w="2127" w:type="dxa"/>
          </w:tcPr>
          <w:p w14:paraId="4F380254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3AB1" w14:textId="77777777"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46DE5A8A" w14:textId="77777777" w:rsidR="0001599B" w:rsidRPr="00F53AF2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5B44297C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60F87394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3676E66F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569F9E5A" w14:textId="77777777" w:rsidTr="00DA446D">
        <w:trPr>
          <w:trHeight w:val="1125"/>
        </w:trPr>
        <w:tc>
          <w:tcPr>
            <w:tcW w:w="2127" w:type="dxa"/>
          </w:tcPr>
          <w:p w14:paraId="77C1BCCD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FD1B" w14:textId="77777777"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491EDFBB" w14:textId="77777777" w:rsidR="0001599B" w:rsidRPr="0001599B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1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sztuka</w:t>
            </w:r>
          </w:p>
        </w:tc>
        <w:tc>
          <w:tcPr>
            <w:tcW w:w="1289" w:type="dxa"/>
          </w:tcPr>
          <w:p w14:paraId="4079EA7E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2025AA49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6002631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524C0814" w14:textId="77777777" w:rsidTr="00DA446D">
        <w:trPr>
          <w:trHeight w:val="1332"/>
        </w:trPr>
        <w:tc>
          <w:tcPr>
            <w:tcW w:w="2127" w:type="dxa"/>
          </w:tcPr>
          <w:p w14:paraId="448AC35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stacjonarnych i 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539AD" w14:textId="77777777"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14:paraId="1E325D7E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14:paraId="0D3974BB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  <w:p w14:paraId="703FE81F" w14:textId="77777777" w:rsidR="0001599B" w:rsidRPr="0001599B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5EB8E45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05.2021 r. </w:t>
            </w:r>
          </w:p>
        </w:tc>
        <w:tc>
          <w:tcPr>
            <w:tcW w:w="1263" w:type="dxa"/>
          </w:tcPr>
          <w:p w14:paraId="761C0FC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2D954385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6124B84F" w14:textId="77777777" w:rsidTr="00DA446D">
        <w:trPr>
          <w:trHeight w:val="838"/>
        </w:trPr>
        <w:tc>
          <w:tcPr>
            <w:tcW w:w="2127" w:type="dxa"/>
          </w:tcPr>
          <w:p w14:paraId="49DEBB09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24F6" w14:textId="77777777"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002898EF" w14:textId="77777777" w:rsidR="0001599B" w:rsidRPr="0001599B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307FB8B5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2EDDB95A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0B1C8B9D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12E69392" w14:textId="77777777" w:rsidTr="00DA446D">
        <w:trPr>
          <w:trHeight w:val="1407"/>
        </w:trPr>
        <w:tc>
          <w:tcPr>
            <w:tcW w:w="2127" w:type="dxa"/>
          </w:tcPr>
          <w:p w14:paraId="58BFAA54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 zintegrowany z pozostałymi systemami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4D7A" w14:textId="77777777" w:rsidR="0001599B" w:rsidRPr="0001599B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43072FE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05C601BF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183DB8C8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14:paraId="32B80362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14:paraId="7C5FC85C" w14:textId="77777777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8669B0B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356EA0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85D2A77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5933174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8110F4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183123E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38AEF240" w14:textId="77777777" w:rsidTr="00647A7F">
        <w:trPr>
          <w:trHeight w:val="889"/>
        </w:trPr>
        <w:tc>
          <w:tcPr>
            <w:tcW w:w="2545" w:type="dxa"/>
          </w:tcPr>
          <w:p w14:paraId="01966A96" w14:textId="77777777"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0283A508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0F5EE1A7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603760E" w14:textId="77777777"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14:paraId="0DD4D2FD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14:paraId="105E5134" w14:textId="77777777" w:rsidTr="00647A7F">
        <w:trPr>
          <w:trHeight w:val="138"/>
        </w:trPr>
        <w:tc>
          <w:tcPr>
            <w:tcW w:w="2545" w:type="dxa"/>
          </w:tcPr>
          <w:p w14:paraId="2A905FE3" w14:textId="77777777"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7FBB4ABF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F2F85EF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D320819" w14:textId="77777777" w:rsidR="008D4B4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336DA4F6" w14:textId="77777777"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14:paraId="27287CEE" w14:textId="77777777" w:rsidTr="00647A7F">
        <w:trPr>
          <w:trHeight w:val="1302"/>
        </w:trPr>
        <w:tc>
          <w:tcPr>
            <w:tcW w:w="2545" w:type="dxa"/>
          </w:tcPr>
          <w:p w14:paraId="0D5DF795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68EFD1BD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534E2BDB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78F5557C" w14:textId="77777777"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76DD6995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14:paraId="02CF3BF2" w14:textId="77777777" w:rsidTr="00647A7F">
        <w:trPr>
          <w:trHeight w:val="134"/>
        </w:trPr>
        <w:tc>
          <w:tcPr>
            <w:tcW w:w="2545" w:type="dxa"/>
          </w:tcPr>
          <w:p w14:paraId="574D7D6B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52D14C3C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26675E2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FC54201" w14:textId="77777777"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7D821792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14:paraId="57CFBAD6" w14:textId="77777777" w:rsidTr="00647A7F">
        <w:trPr>
          <w:trHeight w:val="1327"/>
        </w:trPr>
        <w:tc>
          <w:tcPr>
            <w:tcW w:w="2545" w:type="dxa"/>
          </w:tcPr>
          <w:p w14:paraId="633B68C9" w14:textId="77777777"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792FD7DC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3B7918E5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BCDA57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2127" w:type="dxa"/>
          </w:tcPr>
          <w:p w14:paraId="7B110A94" w14:textId="77777777" w:rsidR="008D4B4A" w:rsidRDefault="008D4B4A" w:rsidP="008D4B4A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sz w:val="18"/>
                <w:szCs w:val="20"/>
              </w:rPr>
              <w:t xml:space="preserve">0 szt. </w:t>
            </w:r>
          </w:p>
        </w:tc>
      </w:tr>
    </w:tbl>
    <w:p w14:paraId="573F934F" w14:textId="78CF5EE9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14:paraId="777A6ED0" w14:textId="77777777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3D03294C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3D541C2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5EC8F2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14:paraId="5E04C159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435A2E43" w14:textId="77777777" w:rsidTr="00647A7F">
        <w:tc>
          <w:tcPr>
            <w:tcW w:w="2547" w:type="dxa"/>
          </w:tcPr>
          <w:p w14:paraId="2EFA0897" w14:textId="5809C497"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14:paraId="49285967" w14:textId="4ED557E1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14:paraId="2BFAA860" w14:textId="02AB4162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14:paraId="68D15FEE" w14:textId="5B4FCCB9"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369ABA5E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</w:t>
      </w:r>
      <w:bookmarkStart w:id="1" w:name="_GoBack"/>
      <w:bookmarkEnd w:id="1"/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2B50C0" w14:paraId="52C645F5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8EC8BE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5BF078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C8FFF1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B39C84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3CBC73F7" w14:textId="77777777" w:rsidTr="00C6751B">
        <w:tc>
          <w:tcPr>
            <w:tcW w:w="2937" w:type="dxa"/>
          </w:tcPr>
          <w:p w14:paraId="1B7697E1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2FAD5E58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14:paraId="29091403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14:paraId="5C5179D9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24B9A76B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603642D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15881C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B78455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0096A2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43A6B6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14:paraId="37AF9B6A" w14:textId="77777777" w:rsidTr="00B60A3C">
        <w:trPr>
          <w:trHeight w:val="676"/>
        </w:trPr>
        <w:tc>
          <w:tcPr>
            <w:tcW w:w="2547" w:type="dxa"/>
          </w:tcPr>
          <w:p w14:paraId="1CAE89A6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6EE3557B" w14:textId="77777777"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22534805" w14:textId="77777777"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FFEB6DD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14:paraId="19BA2E54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14:paraId="169011AD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14:paraId="3002E66D" w14:textId="77777777"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14:paraId="7A4EAF7F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558AEB74" w14:textId="77777777" w:rsidTr="00B60A3C">
        <w:trPr>
          <w:trHeight w:val="563"/>
        </w:trPr>
        <w:tc>
          <w:tcPr>
            <w:tcW w:w="2547" w:type="dxa"/>
          </w:tcPr>
          <w:p w14:paraId="66EA0A25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14:paraId="3B942913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3DF88C81" w14:textId="77777777"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332F919" w14:textId="77777777"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</w:p>
        </w:tc>
      </w:tr>
      <w:tr w:rsidR="00B60A3C" w:rsidRPr="002B50C0" w14:paraId="1A5E9BD3" w14:textId="77777777" w:rsidTr="00B60A3C">
        <w:trPr>
          <w:trHeight w:val="526"/>
        </w:trPr>
        <w:tc>
          <w:tcPr>
            <w:tcW w:w="2547" w:type="dxa"/>
          </w:tcPr>
          <w:p w14:paraId="4D77A3E6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14:paraId="01D78879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449B3C3C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12629F12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finansowo-kadrowo-płacowy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14:paraId="6C7D34C7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56E01691" w14:textId="77777777" w:rsidTr="00B60A3C">
        <w:trPr>
          <w:trHeight w:val="500"/>
        </w:trPr>
        <w:tc>
          <w:tcPr>
            <w:tcW w:w="2547" w:type="dxa"/>
          </w:tcPr>
          <w:p w14:paraId="3A8CA5ED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Zarządzania Uprawnieniami </w:t>
            </w:r>
          </w:p>
        </w:tc>
        <w:tc>
          <w:tcPr>
            <w:tcW w:w="1701" w:type="dxa"/>
          </w:tcPr>
          <w:p w14:paraId="40C63862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0F6DE5CA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0615363A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14:paraId="76CDF940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196CFAA6" w14:textId="77777777" w:rsidTr="002D433F">
        <w:trPr>
          <w:trHeight w:val="789"/>
        </w:trPr>
        <w:tc>
          <w:tcPr>
            <w:tcW w:w="2547" w:type="dxa"/>
          </w:tcPr>
          <w:p w14:paraId="6DCE9E80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wsparcie Elearningu</w:t>
            </w:r>
          </w:p>
        </w:tc>
        <w:tc>
          <w:tcPr>
            <w:tcW w:w="1701" w:type="dxa"/>
          </w:tcPr>
          <w:p w14:paraId="2AA38EEF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5FAF392B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031185C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m.in. zarządzania użytkownikami kursu, zasobami edukacyjnymi, postępami w nauce oraz funkcjami rejestracji i raportowania.</w:t>
            </w:r>
          </w:p>
          <w:p w14:paraId="56807748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14:paraId="06A4FB6E" w14:textId="77777777" w:rsidTr="002D433F">
        <w:trPr>
          <w:trHeight w:val="789"/>
        </w:trPr>
        <w:tc>
          <w:tcPr>
            <w:tcW w:w="2547" w:type="dxa"/>
          </w:tcPr>
          <w:p w14:paraId="04D85E97" w14:textId="77777777"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14:paraId="7BB187BD" w14:textId="77777777" w:rsidR="005F0CC5" w:rsidRPr="0001599B" w:rsidRDefault="005F0CC5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64B16966" w14:textId="77777777"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0525651F" w14:textId="77777777"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14:paraId="024E620A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1413BA28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322614" w:rsidRPr="002B50C0" w14:paraId="6ACD76D8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3D93D9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01BB486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1E9522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F012AA2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7201FD47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67552F2F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14:paraId="49FFFB82" w14:textId="77777777" w:rsidR="00322614" w:rsidRPr="003B5F80" w:rsidRDefault="004D3477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7C609778" w14:textId="77777777" w:rsidR="00322614" w:rsidRPr="003B5F80" w:rsidRDefault="0012252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09FD05B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2E08ECFB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7781C52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45E3460A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B02B5B7" w14:textId="77777777" w:rsidR="00322614" w:rsidRPr="003B5F80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</w:tc>
      </w:tr>
      <w:tr w:rsidR="00122526" w:rsidRPr="002B50C0" w14:paraId="10604617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515E77CA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302668E9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C937508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FFD8B32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</w:t>
            </w: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wskazuje, iż sytuacja finansowa beneficjenta jest stabilna i bezpieczna.</w:t>
            </w:r>
          </w:p>
          <w:p w14:paraId="4CD1EE75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5CA8F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14:paraId="55289170" w14:textId="77777777" w:rsidR="00960E98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22526" w:rsidRPr="002B50C0" w14:paraId="66F90FF2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586D9002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14:paraId="7E3A8AA5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E5C7B1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582A8C91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735F8A83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51BCC0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14:paraId="61C2E0A6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31246A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544E9D65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10FE1" w:rsidRPr="002B50C0" w14:paraId="21032420" w14:textId="77777777" w:rsidTr="00647A7F">
        <w:trPr>
          <w:trHeight w:val="875"/>
        </w:trPr>
        <w:tc>
          <w:tcPr>
            <w:tcW w:w="3265" w:type="dxa"/>
            <w:vAlign w:val="center"/>
          </w:tcPr>
          <w:p w14:paraId="7BE59219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3122CB75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EE42371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31307B05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2BEC47E8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228F6800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14:paraId="72957DDF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0AC4DA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742ECE50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ADBB4A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1DF6D2D6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110FE1" w:rsidRPr="002B50C0" w14:paraId="188CB186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108DA4F0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24FD3F57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2273B045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B3DFB5E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23E116BF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326FD0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14:paraId="62F82A8B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85083C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Efekty: Zastosowanie powyższych procedur powinno wpłynąć na minimalizację ryzyka lub co najmniej utrzymać stopień ryzyka na tym samym poziomie.</w:t>
            </w:r>
          </w:p>
          <w:p w14:paraId="3B99DBA9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D3477" w:rsidRPr="002B50C0" w14:paraId="46FABB91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68830DF6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Spóźnione dostawy</w:t>
            </w:r>
          </w:p>
        </w:tc>
        <w:tc>
          <w:tcPr>
            <w:tcW w:w="1697" w:type="dxa"/>
            <w:vAlign w:val="center"/>
          </w:tcPr>
          <w:p w14:paraId="06BB7D9F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61CEFBC6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C9DD1EA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14:paraId="2D8AE8EF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16D405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17D08A54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6576912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5266A5FD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FA8FA8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7665DBAC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5C27095C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CA945CD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4E7AE1A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70EF31D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39166F1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0953C9F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609EF825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A28898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F5F114C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2D2787E6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14:paraId="32325D89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58439732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0C4789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6211B99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4F2CABB3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7FC3DA2D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1795DC9F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6B3D855E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14:paraId="33F1F0DD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513B2A4F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D2F4DC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90885C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0701AFD7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66C37E94" w14:textId="77777777" w:rsidR="008A03BB" w:rsidRPr="003C7F19" w:rsidRDefault="008A03BB" w:rsidP="008A03BB">
            <w:pPr>
              <w:rPr>
                <w:lang w:eastAsia="pl-PL"/>
              </w:rPr>
            </w:pPr>
          </w:p>
          <w:p w14:paraId="74DBEBCC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</w:tc>
      </w:tr>
    </w:tbl>
    <w:p w14:paraId="63B21C95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2FF7937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5DD9FAD6" w14:textId="77777777" w:rsidR="00BB059E" w:rsidRPr="00476E2D" w:rsidRDefault="00BB059E" w:rsidP="00562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p w14:paraId="0E78C5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4A2A61FF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56FE5B09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76F75B95" w14:textId="77777777" w:rsidR="00DD5957" w:rsidRPr="00A92887" w:rsidRDefault="00DD5957" w:rsidP="00A92887">
      <w:pPr>
        <w:spacing w:after="0"/>
        <w:jc w:val="both"/>
        <w:rPr>
          <w:rFonts w:ascii="Arial" w:hAnsi="Arial" w:cs="Arial"/>
        </w:rPr>
      </w:pPr>
    </w:p>
    <w:sectPr w:rsidR="00DD595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CA461" w14:textId="77777777" w:rsidR="00CE1190" w:rsidRDefault="00CE1190" w:rsidP="00BB2420">
      <w:pPr>
        <w:spacing w:after="0" w:line="240" w:lineRule="auto"/>
      </w:pPr>
      <w:r>
        <w:separator/>
      </w:r>
    </w:p>
  </w:endnote>
  <w:endnote w:type="continuationSeparator" w:id="0">
    <w:p w14:paraId="4AAB8DE5" w14:textId="77777777" w:rsidR="00CE1190" w:rsidRDefault="00CE119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5EE286" w14:textId="3B17988E" w:rsidR="002D433F" w:rsidRDefault="002D433F">
            <w:pPr>
              <w:pStyle w:val="Stopka"/>
              <w:jc w:val="right"/>
            </w:pPr>
            <w:r>
              <w:t xml:space="preserve">Strona </w:t>
            </w:r>
            <w:r w:rsidR="00A23CF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23CF0">
              <w:rPr>
                <w:b/>
                <w:bCs/>
                <w:sz w:val="24"/>
                <w:szCs w:val="24"/>
              </w:rPr>
              <w:fldChar w:fldCharType="separate"/>
            </w:r>
            <w:r w:rsidR="00647A7F">
              <w:rPr>
                <w:b/>
                <w:bCs/>
                <w:noProof/>
              </w:rPr>
              <w:t>4</w:t>
            </w:r>
            <w:r w:rsidR="00A23CF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94816">
              <w:rPr>
                <w:b/>
                <w:bCs/>
                <w:noProof/>
              </w:rPr>
              <w:t>8</w:t>
            </w:r>
          </w:p>
        </w:sdtContent>
      </w:sdt>
    </w:sdtContent>
  </w:sdt>
  <w:p w14:paraId="7E24F466" w14:textId="77777777" w:rsidR="002D433F" w:rsidRDefault="002D43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7B6CF" w14:textId="77777777" w:rsidR="00CE1190" w:rsidRDefault="00CE1190" w:rsidP="00BB2420">
      <w:pPr>
        <w:spacing w:after="0" w:line="240" w:lineRule="auto"/>
      </w:pPr>
      <w:r>
        <w:separator/>
      </w:r>
    </w:p>
  </w:footnote>
  <w:footnote w:type="continuationSeparator" w:id="0">
    <w:p w14:paraId="63EADD02" w14:textId="77777777" w:rsidR="00CE1190" w:rsidRDefault="00CE1190" w:rsidP="00BB2420">
      <w:pPr>
        <w:spacing w:after="0" w:line="240" w:lineRule="auto"/>
      </w:pPr>
      <w:r>
        <w:continuationSeparator/>
      </w:r>
    </w:p>
  </w:footnote>
  <w:footnote w:id="1">
    <w:p w14:paraId="47A49FB1" w14:textId="77777777" w:rsidR="002D433F" w:rsidRDefault="002D433F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118F18A7" w14:textId="77777777" w:rsidR="002D433F" w:rsidRDefault="002D43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6"/>
  </w:num>
  <w:num w:numId="4">
    <w:abstractNumId w:val="15"/>
  </w:num>
  <w:num w:numId="5">
    <w:abstractNumId w:val="23"/>
  </w:num>
  <w:num w:numId="6">
    <w:abstractNumId w:val="6"/>
  </w:num>
  <w:num w:numId="7">
    <w:abstractNumId w:val="2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5"/>
  </w:num>
  <w:num w:numId="21">
    <w:abstractNumId w:val="10"/>
  </w:num>
  <w:num w:numId="22">
    <w:abstractNumId w:val="0"/>
  </w:num>
  <w:num w:numId="23">
    <w:abstractNumId w:val="4"/>
  </w:num>
  <w:num w:numId="24">
    <w:abstractNumId w:val="22"/>
  </w:num>
  <w:num w:numId="25">
    <w:abstractNumId w:val="1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75B94"/>
    <w:rsid w:val="00176FBB"/>
    <w:rsid w:val="00181E97"/>
    <w:rsid w:val="00182A08"/>
    <w:rsid w:val="001A2EF2"/>
    <w:rsid w:val="001B04CA"/>
    <w:rsid w:val="001B42C0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134BB"/>
    <w:rsid w:val="0023554E"/>
    <w:rsid w:val="00237279"/>
    <w:rsid w:val="00240D69"/>
    <w:rsid w:val="00241B5E"/>
    <w:rsid w:val="00252087"/>
    <w:rsid w:val="00263392"/>
    <w:rsid w:val="00265194"/>
    <w:rsid w:val="0026573F"/>
    <w:rsid w:val="00276C00"/>
    <w:rsid w:val="00280088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B5F80"/>
    <w:rsid w:val="003B7E71"/>
    <w:rsid w:val="003C7325"/>
    <w:rsid w:val="003C790E"/>
    <w:rsid w:val="003C7F19"/>
    <w:rsid w:val="003D7DD0"/>
    <w:rsid w:val="003E3144"/>
    <w:rsid w:val="00400854"/>
    <w:rsid w:val="00405EA4"/>
    <w:rsid w:val="0041034F"/>
    <w:rsid w:val="004118A3"/>
    <w:rsid w:val="00423A26"/>
    <w:rsid w:val="00425046"/>
    <w:rsid w:val="00431220"/>
    <w:rsid w:val="004350B8"/>
    <w:rsid w:val="004423AF"/>
    <w:rsid w:val="00444AAB"/>
    <w:rsid w:val="00450089"/>
    <w:rsid w:val="00452E2A"/>
    <w:rsid w:val="004729D1"/>
    <w:rsid w:val="00476E2D"/>
    <w:rsid w:val="0048460F"/>
    <w:rsid w:val="00487328"/>
    <w:rsid w:val="004B2CEE"/>
    <w:rsid w:val="004C1D48"/>
    <w:rsid w:val="004D3477"/>
    <w:rsid w:val="004D65CA"/>
    <w:rsid w:val="004F2023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47A7F"/>
    <w:rsid w:val="00661A62"/>
    <w:rsid w:val="006731D9"/>
    <w:rsid w:val="006822BC"/>
    <w:rsid w:val="006948D3"/>
    <w:rsid w:val="006A60AA"/>
    <w:rsid w:val="006B034F"/>
    <w:rsid w:val="006B5117"/>
    <w:rsid w:val="006C028C"/>
    <w:rsid w:val="006C78AE"/>
    <w:rsid w:val="006D0585"/>
    <w:rsid w:val="006D0845"/>
    <w:rsid w:val="006E0CFA"/>
    <w:rsid w:val="006E6205"/>
    <w:rsid w:val="006F727B"/>
    <w:rsid w:val="00701800"/>
    <w:rsid w:val="00725708"/>
    <w:rsid w:val="00726D20"/>
    <w:rsid w:val="00740A47"/>
    <w:rsid w:val="00746ABD"/>
    <w:rsid w:val="007601D4"/>
    <w:rsid w:val="0077418F"/>
    <w:rsid w:val="007759B7"/>
    <w:rsid w:val="00775C44"/>
    <w:rsid w:val="00776802"/>
    <w:rsid w:val="007866A9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F81"/>
    <w:rsid w:val="007F126F"/>
    <w:rsid w:val="007F1ADC"/>
    <w:rsid w:val="00803FBE"/>
    <w:rsid w:val="00805178"/>
    <w:rsid w:val="00806134"/>
    <w:rsid w:val="008064E1"/>
    <w:rsid w:val="00821C33"/>
    <w:rsid w:val="00830B70"/>
    <w:rsid w:val="00840749"/>
    <w:rsid w:val="0087452F"/>
    <w:rsid w:val="00875528"/>
    <w:rsid w:val="00884686"/>
    <w:rsid w:val="00886383"/>
    <w:rsid w:val="008A03BB"/>
    <w:rsid w:val="008A332F"/>
    <w:rsid w:val="008A52F6"/>
    <w:rsid w:val="008A7C46"/>
    <w:rsid w:val="008C4BCD"/>
    <w:rsid w:val="008C6721"/>
    <w:rsid w:val="008D0F4D"/>
    <w:rsid w:val="008D3826"/>
    <w:rsid w:val="008D4B4A"/>
    <w:rsid w:val="008E0B17"/>
    <w:rsid w:val="008F2D9B"/>
    <w:rsid w:val="008F67EE"/>
    <w:rsid w:val="00900833"/>
    <w:rsid w:val="00907F6D"/>
    <w:rsid w:val="00911190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28AE"/>
    <w:rsid w:val="00A804AE"/>
    <w:rsid w:val="00A86449"/>
    <w:rsid w:val="00A87C1C"/>
    <w:rsid w:val="00A92887"/>
    <w:rsid w:val="00A92D98"/>
    <w:rsid w:val="00AA4CAB"/>
    <w:rsid w:val="00AA51AD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7D3D"/>
    <w:rsid w:val="00B91243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C1106C"/>
    <w:rsid w:val="00C15ED9"/>
    <w:rsid w:val="00C26361"/>
    <w:rsid w:val="00C302F1"/>
    <w:rsid w:val="00C318D7"/>
    <w:rsid w:val="00C3575F"/>
    <w:rsid w:val="00C42AEA"/>
    <w:rsid w:val="00C57985"/>
    <w:rsid w:val="00C6751B"/>
    <w:rsid w:val="00CA516B"/>
    <w:rsid w:val="00CB70DA"/>
    <w:rsid w:val="00CC49E1"/>
    <w:rsid w:val="00CC7E21"/>
    <w:rsid w:val="00CE1190"/>
    <w:rsid w:val="00CE74F9"/>
    <w:rsid w:val="00CE7777"/>
    <w:rsid w:val="00CF2E64"/>
    <w:rsid w:val="00CF521B"/>
    <w:rsid w:val="00D02F6D"/>
    <w:rsid w:val="00D22C21"/>
    <w:rsid w:val="00D25CFE"/>
    <w:rsid w:val="00D34566"/>
    <w:rsid w:val="00D4607F"/>
    <w:rsid w:val="00D57025"/>
    <w:rsid w:val="00D57765"/>
    <w:rsid w:val="00D77F50"/>
    <w:rsid w:val="00D859F4"/>
    <w:rsid w:val="00D85A52"/>
    <w:rsid w:val="00D86FEC"/>
    <w:rsid w:val="00D875AE"/>
    <w:rsid w:val="00DA34DF"/>
    <w:rsid w:val="00DA446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1BA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4B20"/>
    <w:rsid w:val="00ED1DB0"/>
    <w:rsid w:val="00F138F7"/>
    <w:rsid w:val="00F2008A"/>
    <w:rsid w:val="00F21D9E"/>
    <w:rsid w:val="00F25348"/>
    <w:rsid w:val="00F45506"/>
    <w:rsid w:val="00F466CA"/>
    <w:rsid w:val="00F53AF2"/>
    <w:rsid w:val="00F60062"/>
    <w:rsid w:val="00F613CC"/>
    <w:rsid w:val="00F76777"/>
    <w:rsid w:val="00F7743E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5A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50D1F-B6F6-4085-815F-5881FBF2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1635</Words>
  <Characters>9812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2019-12-19T11:12:00Z</dcterms:created>
  <dcterms:modified xsi:type="dcterms:W3CDTF">2019-12-19T11:12:00Z</dcterms:modified>
</cp:coreProperties>
</file>